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1C" w:rsidRDefault="006A291C" w:rsidP="006A291C">
      <w:pPr>
        <w:jc w:val="center"/>
        <w:rPr>
          <w:sz w:val="26"/>
          <w:szCs w:val="26"/>
        </w:rPr>
      </w:pPr>
      <w:r>
        <w:rPr>
          <w:noProof/>
          <w:sz w:val="26"/>
          <w:szCs w:val="26"/>
          <w:lang w:eastAsia="ru-RU"/>
        </w:rPr>
        <w:drawing>
          <wp:inline distT="0" distB="0" distL="0" distR="0">
            <wp:extent cx="952500" cy="7429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952500" cy="742950"/>
                    </a:xfrm>
                    <a:prstGeom prst="rect">
                      <a:avLst/>
                    </a:prstGeom>
                    <a:noFill/>
                    <a:ln w="9525">
                      <a:noFill/>
                      <a:miter lim="800000"/>
                      <a:headEnd/>
                      <a:tailEnd/>
                    </a:ln>
                  </pic:spPr>
                </pic:pic>
              </a:graphicData>
            </a:graphic>
          </wp:inline>
        </w:drawing>
      </w:r>
    </w:p>
    <w:p w:rsidR="006A291C" w:rsidRDefault="006A291C" w:rsidP="006A291C">
      <w:pPr>
        <w:jc w:val="center"/>
        <w:rPr>
          <w:sz w:val="24"/>
          <w:szCs w:val="24"/>
        </w:rPr>
      </w:pPr>
      <w:r>
        <w:t>Министерство образования  Республики Дагестан</w:t>
      </w:r>
    </w:p>
    <w:p w:rsidR="006A291C" w:rsidRDefault="006A291C" w:rsidP="006A291C">
      <w:pPr>
        <w:jc w:val="center"/>
      </w:pPr>
      <w:r>
        <w:t>Управление Образования МР «</w:t>
      </w:r>
      <w:proofErr w:type="spellStart"/>
      <w:r>
        <w:t>Кизилюртовский</w:t>
      </w:r>
      <w:proofErr w:type="spellEnd"/>
      <w:r>
        <w:t xml:space="preserve"> район»</w:t>
      </w:r>
    </w:p>
    <w:p w:rsidR="006A291C" w:rsidRDefault="006A291C" w:rsidP="006A291C">
      <w:pPr>
        <w:jc w:val="center"/>
      </w:pPr>
      <w:r>
        <w:t>Муниципальное Казенное Общеобразовательное учреждение «</w:t>
      </w:r>
      <w:proofErr w:type="spellStart"/>
      <w:r>
        <w:t>Шушановская</w:t>
      </w:r>
      <w:proofErr w:type="spellEnd"/>
      <w:r>
        <w:t xml:space="preserve"> СОШ»</w:t>
      </w:r>
    </w:p>
    <w:p w:rsidR="006A291C" w:rsidRDefault="006A291C" w:rsidP="006A291C">
      <w:pPr>
        <w:jc w:val="center"/>
        <w:rPr>
          <w:sz w:val="14"/>
          <w:szCs w:val="14"/>
        </w:rPr>
      </w:pPr>
      <w:r>
        <w:rPr>
          <w:sz w:val="14"/>
          <w:szCs w:val="14"/>
        </w:rPr>
        <w:t xml:space="preserve">ИНН  0516008363, ОГРН  1020502232398;ул. Центральная , </w:t>
      </w:r>
      <w:proofErr w:type="spellStart"/>
      <w:r>
        <w:rPr>
          <w:sz w:val="14"/>
          <w:szCs w:val="14"/>
        </w:rPr>
        <w:t>с</w:t>
      </w:r>
      <w:proofErr w:type="gramStart"/>
      <w:r>
        <w:rPr>
          <w:sz w:val="14"/>
          <w:szCs w:val="14"/>
        </w:rPr>
        <w:t>.С</w:t>
      </w:r>
      <w:proofErr w:type="gramEnd"/>
      <w:r>
        <w:rPr>
          <w:sz w:val="14"/>
          <w:szCs w:val="14"/>
        </w:rPr>
        <w:t>тальское</w:t>
      </w:r>
      <w:proofErr w:type="spellEnd"/>
      <w:r>
        <w:rPr>
          <w:sz w:val="14"/>
          <w:szCs w:val="14"/>
        </w:rPr>
        <w:t xml:space="preserve">,  </w:t>
      </w:r>
      <w:proofErr w:type="spellStart"/>
      <w:r>
        <w:rPr>
          <w:sz w:val="14"/>
          <w:szCs w:val="14"/>
        </w:rPr>
        <w:t>Кизилюртовский</w:t>
      </w:r>
      <w:proofErr w:type="spellEnd"/>
      <w:r>
        <w:rPr>
          <w:sz w:val="14"/>
          <w:szCs w:val="14"/>
        </w:rPr>
        <w:t xml:space="preserve"> район, Республика Дагестан, Российская Федерация, 368105.</w:t>
      </w:r>
    </w:p>
    <w:tbl>
      <w:tblPr>
        <w:tblW w:w="9924" w:type="dxa"/>
        <w:jc w:val="center"/>
        <w:tblInd w:w="-9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924"/>
      </w:tblGrid>
      <w:tr w:rsidR="006A291C" w:rsidTr="006A291C">
        <w:trPr>
          <w:trHeight w:val="311"/>
          <w:jc w:val="center"/>
        </w:trPr>
        <w:tc>
          <w:tcPr>
            <w:tcW w:w="9924" w:type="dxa"/>
            <w:tcBorders>
              <w:top w:val="thinThickSmallGap" w:sz="24" w:space="0" w:color="auto"/>
              <w:left w:val="nil"/>
              <w:bottom w:val="nil"/>
              <w:right w:val="nil"/>
            </w:tcBorders>
            <w:hideMark/>
          </w:tcPr>
          <w:p w:rsidR="006A291C" w:rsidRDefault="006A291C">
            <w:pPr>
              <w:tabs>
                <w:tab w:val="left" w:pos="6814"/>
              </w:tabs>
              <w:ind w:left="119" w:firstLine="709"/>
              <w:jc w:val="both"/>
              <w:rPr>
                <w:rFonts w:ascii="Times New Roman" w:eastAsia="Calibri" w:hAnsi="Times New Roman" w:cs="Times New Roman"/>
                <w:b/>
                <w:sz w:val="24"/>
                <w:szCs w:val="24"/>
              </w:rPr>
            </w:pPr>
            <w:r>
              <w:t xml:space="preserve">  </w:t>
            </w:r>
          </w:p>
        </w:tc>
      </w:tr>
    </w:tbl>
    <w:p w:rsidR="006A291C" w:rsidRDefault="006A291C" w:rsidP="006A291C">
      <w:pPr>
        <w:jc w:val="right"/>
        <w:rPr>
          <w:rFonts w:ascii="Times New Roman" w:eastAsia="Calibri" w:hAnsi="Times New Roman"/>
          <w:sz w:val="28"/>
          <w:szCs w:val="28"/>
        </w:rPr>
      </w:pPr>
    </w:p>
    <w:p w:rsidR="006A291C" w:rsidRDefault="006A291C" w:rsidP="006A291C">
      <w:pPr>
        <w:jc w:val="right"/>
        <w:rPr>
          <w:sz w:val="28"/>
          <w:szCs w:val="28"/>
        </w:rPr>
      </w:pPr>
    </w:p>
    <w:p w:rsidR="006A291C" w:rsidRDefault="006A291C" w:rsidP="006A291C">
      <w:pPr>
        <w:jc w:val="right"/>
        <w:rPr>
          <w:sz w:val="28"/>
          <w:szCs w:val="28"/>
        </w:rPr>
      </w:pPr>
    </w:p>
    <w:p w:rsidR="006A291C" w:rsidRDefault="006A291C" w:rsidP="006A291C">
      <w:pPr>
        <w:jc w:val="right"/>
        <w:rPr>
          <w:sz w:val="28"/>
          <w:szCs w:val="28"/>
        </w:rPr>
      </w:pPr>
    </w:p>
    <w:p w:rsidR="006A291C" w:rsidRDefault="006A291C" w:rsidP="006A291C">
      <w:pPr>
        <w:jc w:val="right"/>
        <w:rPr>
          <w:sz w:val="28"/>
          <w:szCs w:val="28"/>
        </w:rPr>
      </w:pPr>
    </w:p>
    <w:p w:rsidR="006A291C" w:rsidRDefault="006A291C" w:rsidP="006A291C">
      <w:pPr>
        <w:jc w:val="right"/>
        <w:rPr>
          <w:sz w:val="24"/>
          <w:szCs w:val="24"/>
        </w:rPr>
      </w:pPr>
      <w:r>
        <w:rPr>
          <w:sz w:val="28"/>
          <w:szCs w:val="28"/>
        </w:rPr>
        <w:t xml:space="preserve">                                     </w:t>
      </w:r>
      <w:r>
        <w:rPr>
          <w:b/>
        </w:rPr>
        <w:t xml:space="preserve">«УТВЕРЖДАЮ»                                                                                                                                  </w:t>
      </w:r>
      <w:r>
        <w:t xml:space="preserve">Директор  МКОУ </w:t>
      </w:r>
    </w:p>
    <w:p w:rsidR="006A291C" w:rsidRDefault="006A291C" w:rsidP="006A291C">
      <w:pPr>
        <w:jc w:val="right"/>
      </w:pPr>
      <w:r>
        <w:t xml:space="preserve">                                               «</w:t>
      </w:r>
      <w:proofErr w:type="spellStart"/>
      <w:r>
        <w:t>Шушановская</w:t>
      </w:r>
      <w:proofErr w:type="spellEnd"/>
      <w:r>
        <w:t xml:space="preserve">  СОШ»                                                                                                              ___________ </w:t>
      </w:r>
      <w:proofErr w:type="spellStart"/>
      <w:r>
        <w:t>Д.Н.Джамавов</w:t>
      </w:r>
      <w:proofErr w:type="spellEnd"/>
      <w:r>
        <w:t xml:space="preserve"> </w:t>
      </w:r>
    </w:p>
    <w:p w:rsidR="006A291C" w:rsidRDefault="006A291C" w:rsidP="006A291C">
      <w:pPr>
        <w:ind w:left="180"/>
        <w:jc w:val="right"/>
        <w:rPr>
          <w:sz w:val="28"/>
          <w:szCs w:val="28"/>
        </w:rPr>
      </w:pPr>
      <w:r>
        <w:t xml:space="preserve">2018г.    </w:t>
      </w:r>
    </w:p>
    <w:p w:rsidR="006A291C" w:rsidRDefault="006A291C" w:rsidP="006A291C">
      <w:pPr>
        <w:ind w:left="180"/>
        <w:rPr>
          <w:sz w:val="28"/>
          <w:szCs w:val="28"/>
        </w:rPr>
      </w:pPr>
    </w:p>
    <w:p w:rsidR="006522D3" w:rsidRPr="006522D3" w:rsidRDefault="006522D3" w:rsidP="006522D3">
      <w:pPr>
        <w:jc w:val="center"/>
        <w:rPr>
          <w:rFonts w:cstheme="minorHAnsi"/>
          <w:b/>
          <w:sz w:val="24"/>
          <w:szCs w:val="24"/>
        </w:rPr>
      </w:pPr>
    </w:p>
    <w:p w:rsidR="00FC7BAD" w:rsidRPr="00FC7BAD" w:rsidRDefault="006522D3" w:rsidP="00FC7BAD">
      <w:pPr>
        <w:spacing w:before="100" w:beforeAutospacing="1" w:after="100" w:afterAutospacing="1"/>
        <w:outlineLvl w:val="1"/>
        <w:rPr>
          <w:rFonts w:ascii="PTSansRegular" w:eastAsia="Times New Roman" w:hAnsi="PTSansRegular" w:cs="Times New Roman"/>
          <w:b/>
          <w:bCs/>
          <w:sz w:val="26"/>
          <w:szCs w:val="28"/>
          <w:lang w:eastAsia="ru-RU"/>
        </w:rPr>
      </w:pPr>
      <w:r>
        <w:rPr>
          <w:rFonts w:ascii="PTSansRegular" w:eastAsia="Times New Roman" w:hAnsi="PTSansRegular" w:cs="Times New Roman"/>
          <w:b/>
          <w:bCs/>
          <w:sz w:val="26"/>
          <w:szCs w:val="28"/>
          <w:lang w:eastAsia="ru-RU"/>
        </w:rPr>
        <w:t xml:space="preserve">                                                  </w:t>
      </w:r>
      <w:r w:rsidR="00FC7BAD" w:rsidRPr="00FC7BAD">
        <w:rPr>
          <w:rFonts w:ascii="PTSansRegular" w:eastAsia="Times New Roman" w:hAnsi="PTSansRegular" w:cs="Times New Roman"/>
          <w:b/>
          <w:bCs/>
          <w:sz w:val="26"/>
          <w:szCs w:val="28"/>
          <w:lang w:eastAsia="ru-RU"/>
        </w:rPr>
        <w:t>ПОЛОЖЕНИЕ</w:t>
      </w:r>
      <w:r w:rsidR="00FC7BAD" w:rsidRPr="00FC7BAD">
        <w:rPr>
          <w:rFonts w:ascii="PTSansRegular" w:eastAsia="Times New Roman" w:hAnsi="PTSansRegular" w:cs="Times New Roman"/>
          <w:b/>
          <w:bCs/>
          <w:sz w:val="26"/>
          <w:szCs w:val="28"/>
          <w:lang w:eastAsia="ru-RU"/>
        </w:rPr>
        <w:br/>
      </w:r>
      <w:r>
        <w:rPr>
          <w:rFonts w:ascii="PTSansRegular" w:eastAsia="Times New Roman" w:hAnsi="PTSansRegular" w:cs="Times New Roman"/>
          <w:b/>
          <w:bCs/>
          <w:sz w:val="26"/>
          <w:szCs w:val="28"/>
          <w:lang w:eastAsia="ru-RU"/>
        </w:rPr>
        <w:t>«</w:t>
      </w:r>
      <w:r w:rsidR="00FC7BAD" w:rsidRPr="00FC7BAD">
        <w:rPr>
          <w:rFonts w:ascii="PTSansRegular" w:eastAsia="Times New Roman" w:hAnsi="PTSansRegular" w:cs="Times New Roman"/>
          <w:b/>
          <w:bCs/>
          <w:sz w:val="26"/>
          <w:szCs w:val="28"/>
          <w:lang w:eastAsia="ru-RU"/>
        </w:rPr>
        <w:t>О ПРОВЕДЕНИИ ПРОМЕЖУТОЧНОЙ АТТЕ</w:t>
      </w:r>
      <w:r w:rsidR="00FC7BAD" w:rsidRPr="006522D3">
        <w:rPr>
          <w:rFonts w:ascii="PTSansRegular" w:eastAsia="Times New Roman" w:hAnsi="PTSansRegular" w:cs="Times New Roman"/>
          <w:b/>
          <w:bCs/>
          <w:sz w:val="26"/>
          <w:szCs w:val="28"/>
          <w:lang w:eastAsia="ru-RU"/>
        </w:rPr>
        <w:t xml:space="preserve">СТАЦИИ УЧАЩИХСЯ И ОСУЩЕСТВЛЕНИЯ </w:t>
      </w:r>
      <w:r w:rsidR="00FC7BAD" w:rsidRPr="00FC7BAD">
        <w:rPr>
          <w:rFonts w:ascii="PTSansRegular" w:eastAsia="Times New Roman" w:hAnsi="PTSansRegular" w:cs="Times New Roman"/>
          <w:b/>
          <w:bCs/>
          <w:sz w:val="26"/>
          <w:szCs w:val="28"/>
          <w:lang w:eastAsia="ru-RU"/>
        </w:rPr>
        <w:t>ТЕКУЩЕГО КОНТРОЛЯ ИХ УСПЕВАЕМОСТИ</w:t>
      </w:r>
      <w:r>
        <w:rPr>
          <w:rFonts w:ascii="PTSansRegular" w:eastAsia="Times New Roman" w:hAnsi="PTSansRegular" w:cs="Times New Roman"/>
          <w:b/>
          <w:bCs/>
          <w:sz w:val="26"/>
          <w:szCs w:val="28"/>
          <w:lang w:eastAsia="ru-RU"/>
        </w:rPr>
        <w:t>»</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1. Общие положения</w:t>
      </w:r>
      <w:bookmarkStart w:id="0" w:name="_GoBack"/>
      <w:bookmarkEnd w:id="0"/>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1.1. </w:t>
      </w:r>
      <w:proofErr w:type="gramStart"/>
      <w:r w:rsidRPr="00FC7BAD">
        <w:rPr>
          <w:rFonts w:ascii="PTSerifRegular" w:eastAsia="Times New Roman" w:hAnsi="PTSerifRegular" w:cs="Times New Roman"/>
          <w:color w:val="000000"/>
          <w:sz w:val="24"/>
          <w:szCs w:val="24"/>
          <w:lang w:eastAsia="ru-RU"/>
        </w:rPr>
        <w:t xml:space="preserve">Настоящее Положение разработано в соответствии с Федеральным </w:t>
      </w:r>
      <w:hyperlink r:id="rId5" w:tgtFrame="_blank" w:history="1">
        <w:r w:rsidRPr="006522D3">
          <w:rPr>
            <w:rFonts w:ascii="PTSerifRegular" w:eastAsia="Times New Roman" w:hAnsi="PTSerifRegular" w:cs="Times New Roman"/>
            <w:color w:val="0059AA"/>
            <w:sz w:val="24"/>
            <w:szCs w:val="24"/>
            <w:lang w:eastAsia="ru-RU"/>
          </w:rPr>
          <w:t>законом</w:t>
        </w:r>
      </w:hyperlink>
      <w:r w:rsidRPr="00FC7BAD">
        <w:rPr>
          <w:rFonts w:ascii="PTSerifRegular" w:eastAsia="Times New Roman" w:hAnsi="PTSerifRegular" w:cs="Times New Roman"/>
          <w:color w:val="000000"/>
          <w:sz w:val="24"/>
          <w:szCs w:val="24"/>
          <w:lang w:eastAsia="ru-RU"/>
        </w:rPr>
        <w:t xml:space="preserve"> от 29 декабря 2012 г. № 273-ФЗ «Об образовании в Российской Федерации»,  </w:t>
      </w:r>
      <w:hyperlink r:id="rId6" w:tgtFrame="_blank" w:history="1">
        <w:r w:rsidRPr="006522D3">
          <w:rPr>
            <w:rFonts w:ascii="PTSerifRegular" w:eastAsia="Times New Roman" w:hAnsi="PTSerifRegular" w:cs="Times New Roman"/>
            <w:color w:val="0059AA"/>
            <w:sz w:val="24"/>
            <w:szCs w:val="24"/>
            <w:lang w:eastAsia="ru-RU"/>
          </w:rPr>
          <w:t>Приказом</w:t>
        </w:r>
      </w:hyperlink>
      <w:r w:rsidRPr="00FC7BAD">
        <w:rPr>
          <w:rFonts w:ascii="PTSerifRegular" w:eastAsia="Times New Roman" w:hAnsi="PTSerifRegular" w:cs="Times New Roman"/>
          <w:color w:val="000000"/>
          <w:sz w:val="24"/>
          <w:szCs w:val="24"/>
          <w:lang w:eastAsia="ru-RU"/>
        </w:rPr>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roofErr w:type="gramStart"/>
      <w:r w:rsidRPr="00FC7BAD">
        <w:rPr>
          <w:rFonts w:ascii="PTSerifRegular" w:eastAsia="Times New Roman" w:hAnsi="PTSerifRegular" w:cs="Times New Roman"/>
          <w:color w:val="000000"/>
          <w:sz w:val="24"/>
          <w:szCs w:val="24"/>
          <w:lang w:eastAsia="ru-RU"/>
        </w:rPr>
        <w:t xml:space="preserve"> .</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Промежуточная аттестация </w:t>
      </w:r>
      <w:proofErr w:type="gramStart"/>
      <w:r w:rsidRPr="00FC7BAD">
        <w:rPr>
          <w:rFonts w:ascii="PTSerifRegular" w:eastAsia="Times New Roman" w:hAnsi="PTSerifRegular" w:cs="Times New Roman"/>
          <w:color w:val="000000"/>
          <w:sz w:val="24"/>
          <w:szCs w:val="24"/>
          <w:lang w:eastAsia="ru-RU"/>
        </w:rPr>
        <w:t>проводится</w:t>
      </w:r>
      <w:proofErr w:type="gramEnd"/>
      <w:r w:rsidRPr="00FC7BAD">
        <w:rPr>
          <w:rFonts w:ascii="PTSerifRegular" w:eastAsia="Times New Roman" w:hAnsi="PTSerifRegular" w:cs="Times New Roman"/>
          <w:color w:val="000000"/>
          <w:sz w:val="24"/>
          <w:szCs w:val="24"/>
          <w:lang w:eastAsia="ru-RU"/>
        </w:rPr>
        <w:t xml:space="preserve"> начиная со второго класса.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6522D3">
        <w:rPr>
          <w:rFonts w:ascii="PTSerifRegular" w:eastAsia="Times New Roman" w:hAnsi="PTSerifRegular" w:cs="Times New Roman"/>
          <w:i/>
          <w:iCs/>
          <w:color w:val="000000"/>
          <w:sz w:val="24"/>
          <w:szCs w:val="24"/>
          <w:lang w:eastAsia="ru-RU"/>
        </w:rPr>
        <w:t>Вариант 1</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Промежуточная аттестация проводится по каждому учебному предмету, курсу, дисциплине, модулю по итогам учебного года.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Сроки проведения промежуточной аттестации определяются образовательной программой.</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2. Содержание и порядок проведения текущего контроля успеваемости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2.1. Текущий контроль успеваемости учащихся проводится в течение учебного периода в целях: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контроля уровня достижения учащимися результатов,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оценки соответствия результатов освоения образовательных программ  требованиям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2.2. Текущий контроль осуществляется педагогическим работником, реализующим соответствующую часть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2.6 Результаты текущего контроля фиксируются в документах (классных журналах и иных установленных документах).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w:t>
      </w:r>
      <w:r w:rsidRPr="006522D3">
        <w:rPr>
          <w:rFonts w:ascii="PTSerifRegular" w:eastAsia="Times New Roman" w:hAnsi="PTSerifRegular" w:cs="Times New Roman"/>
          <w:color w:val="000000"/>
          <w:sz w:val="24"/>
          <w:szCs w:val="24"/>
          <w:lang w:eastAsia="ru-RU"/>
        </w:rPr>
        <w:t>ские работники в рамках работы с</w:t>
      </w:r>
      <w:r w:rsidRPr="00FC7BAD">
        <w:rPr>
          <w:rFonts w:ascii="PTSerifRegular" w:eastAsia="Times New Roman" w:hAnsi="PTSerifRegular" w:cs="Times New Roman"/>
          <w:color w:val="000000"/>
          <w:sz w:val="24"/>
          <w:szCs w:val="24"/>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w:t>
      </w:r>
      <w:r w:rsidRPr="006522D3">
        <w:rPr>
          <w:rFonts w:ascii="PTSerifRegular" w:eastAsia="Times New Roman" w:hAnsi="PTSerifRegular" w:cs="Times New Roman"/>
          <w:color w:val="000000"/>
          <w:sz w:val="24"/>
          <w:szCs w:val="24"/>
          <w:lang w:eastAsia="ru-RU"/>
        </w:rPr>
        <w:t xml:space="preserve"> классному руководителю</w:t>
      </w:r>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3. Содержание, и порядок проведения промежуточной аттестации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3.1. Целями проведения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соотнесение этого уровня с требованиями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3.3. Формами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письменная проверка – письменный ответ учащегося на один или систему вопросов (заданий). </w:t>
      </w:r>
      <w:proofErr w:type="gramStart"/>
      <w:r w:rsidRPr="00FC7BAD">
        <w:rPr>
          <w:rFonts w:ascii="PTSerifRegular" w:eastAsia="Times New Roman" w:hAnsi="PTSerifRegular" w:cs="Times New Roman"/>
          <w:color w:val="000000"/>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FC7BAD">
        <w:rPr>
          <w:rFonts w:ascii="PTSerifRegular" w:eastAsia="Times New Roman" w:hAnsi="PTSerifRegular" w:cs="Times New Roman"/>
          <w:color w:val="000000"/>
          <w:sz w:val="24"/>
          <w:szCs w:val="24"/>
          <w:lang w:eastAsia="ru-RU"/>
        </w:rPr>
        <w:t>другое</w:t>
      </w:r>
      <w:proofErr w:type="gramEnd"/>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комбинированная проверка - сочетание письменных и устных форм проверок.</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Иные формы промежуточной аттестации могут предусматриваться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FC7BAD">
        <w:rPr>
          <w:rFonts w:ascii="PTSerifRegular" w:eastAsia="Times New Roman" w:hAnsi="PTSerifRegular" w:cs="Times New Roman"/>
          <w:color w:val="000000"/>
          <w:sz w:val="24"/>
          <w:szCs w:val="24"/>
          <w:lang w:eastAsia="ru-RU"/>
        </w:rPr>
        <w:t>в</w:t>
      </w:r>
      <w:proofErr w:type="gramEnd"/>
      <w:r w:rsidRPr="00FC7BAD">
        <w:rPr>
          <w:rFonts w:ascii="PTSerifRegular" w:eastAsia="Times New Roman" w:hAnsi="PTSerifRegular" w:cs="Times New Roman"/>
          <w:color w:val="000000"/>
          <w:sz w:val="24"/>
          <w:szCs w:val="24"/>
          <w:lang w:eastAsia="ru-RU"/>
        </w:rPr>
        <w:t xml:space="preserve"> </w:t>
      </w:r>
      <w:proofErr w:type="gramStart"/>
      <w:r w:rsidRPr="00FC7BAD">
        <w:rPr>
          <w:rFonts w:ascii="PTSerifRegular" w:eastAsia="Times New Roman" w:hAnsi="PTSerifRegular" w:cs="Times New Roman"/>
          <w:color w:val="000000"/>
          <w:sz w:val="24"/>
          <w:szCs w:val="24"/>
          <w:lang w:eastAsia="ru-RU"/>
        </w:rPr>
        <w:t>родителями</w:t>
      </w:r>
      <w:proofErr w:type="gramEnd"/>
      <w:r w:rsidRPr="00FC7BAD">
        <w:rPr>
          <w:rFonts w:ascii="PTSerifRegular" w:eastAsia="Times New Roman" w:hAnsi="PTSerifRegular" w:cs="Times New Roman"/>
          <w:color w:val="000000"/>
          <w:sz w:val="24"/>
          <w:szCs w:val="24"/>
          <w:lang w:eastAsia="ru-RU"/>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w:t>
      </w:r>
      <w:r w:rsidRPr="006522D3">
        <w:rPr>
          <w:rFonts w:ascii="PTSerifRegular" w:eastAsia="Times New Roman" w:hAnsi="PTSerifRegular" w:cs="Times New Roman"/>
          <w:color w:val="000000"/>
          <w:sz w:val="24"/>
          <w:szCs w:val="24"/>
          <w:lang w:eastAsia="ru-RU"/>
        </w:rPr>
        <w:t xml:space="preserve"> к </w:t>
      </w:r>
      <w:r w:rsidRPr="00FC7BAD">
        <w:rPr>
          <w:rFonts w:ascii="PTSerifRegular" w:eastAsia="Times New Roman" w:hAnsi="PTSerifRegular" w:cs="Times New Roman"/>
          <w:color w:val="000000"/>
          <w:sz w:val="24"/>
          <w:szCs w:val="24"/>
          <w:lang w:eastAsia="ru-RU"/>
        </w:rPr>
        <w:t xml:space="preserve"> классному руководителю</w:t>
      </w:r>
      <w:r w:rsidRPr="006522D3">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FC7BAD">
        <w:rPr>
          <w:rFonts w:ascii="PTSerifRegular" w:eastAsia="Times New Roman" w:hAnsi="PTSerifRegular" w:cs="Times New Roman"/>
          <w:color w:val="000000"/>
          <w:sz w:val="24"/>
          <w:szCs w:val="24"/>
          <w:lang w:eastAsia="ru-RU"/>
        </w:rPr>
        <w:t>сборы</w:t>
      </w:r>
      <w:proofErr w:type="gramEnd"/>
      <w:r w:rsidRPr="00FC7BAD">
        <w:rPr>
          <w:rFonts w:ascii="PTSerifRegular" w:eastAsia="Times New Roman" w:hAnsi="PTSerifRegular" w:cs="Times New Roman"/>
          <w:color w:val="000000"/>
          <w:sz w:val="24"/>
          <w:szCs w:val="24"/>
          <w:lang w:eastAsia="ru-RU"/>
        </w:rPr>
        <w:t xml:space="preserve"> и иные подобные мероприятия;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       отъезжающих на постоянное место жительства за рубеж;</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для иных учащихся по решению …. (педагогического совета или иного органа).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3.9 Итоги промежуточной аттестации обсуждаются на заседаниях методических объединений и педагогического совета Организации.</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4. Порядок перевода учащихся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4.1. Учащиеся, освоившие в полном объёме соответствующую часть образовательной программы, переводятся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Pr="006522D3">
        <w:rPr>
          <w:rFonts w:ascii="PTSerifRegular" w:eastAsia="Times New Roman" w:hAnsi="PTSerifRegular" w:cs="Times New Roman"/>
          <w:color w:val="000000"/>
          <w:sz w:val="24"/>
          <w:szCs w:val="24"/>
          <w:lang w:eastAsia="ru-RU"/>
        </w:rPr>
        <w:t xml:space="preserve"> </w:t>
      </w:r>
      <w:r w:rsidRPr="00FC7BAD">
        <w:rPr>
          <w:rFonts w:ascii="PTSerifRegular" w:eastAsia="Times New Roman" w:hAnsi="PTSerifRegular" w:cs="Times New Roman"/>
          <w:color w:val="000000"/>
          <w:sz w:val="24"/>
          <w:szCs w:val="24"/>
          <w:lang w:eastAsia="ru-RU"/>
        </w:rPr>
        <w:t>прохождение промежуточной аттестации при отсутствии уважительных причин признаются академической задолженностью.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4.3. Учащиеся обязаны ликвидировать академическую задолженность.</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4.4. Организация создает  условия учащемуся для ликвидации академической задолженности и обеспечивает </w:t>
      </w:r>
      <w:proofErr w:type="gramStart"/>
      <w:r w:rsidRPr="00FC7BAD">
        <w:rPr>
          <w:rFonts w:ascii="PTSerifRegular" w:eastAsia="Times New Roman" w:hAnsi="PTSerifRegular" w:cs="Times New Roman"/>
          <w:color w:val="000000"/>
          <w:sz w:val="24"/>
          <w:szCs w:val="24"/>
          <w:lang w:eastAsia="ru-RU"/>
        </w:rPr>
        <w:t>контроль за</w:t>
      </w:r>
      <w:proofErr w:type="gramEnd"/>
      <w:r w:rsidRPr="00FC7BAD">
        <w:rPr>
          <w:rFonts w:ascii="PTSerifRegular" w:eastAsia="Times New Roman" w:hAnsi="PTSerifRegular" w:cs="Times New Roman"/>
          <w:color w:val="000000"/>
          <w:sz w:val="24"/>
          <w:szCs w:val="24"/>
          <w:lang w:eastAsia="ru-RU"/>
        </w:rPr>
        <w:t xml:space="preserve"> своевременностью ее ликвидации.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4.6. Для проведения промежуточной аттестации при ликвидации академической задолженности во второй раз Организацией создается комиссия.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4.7. Не допускается взимание платы с учащихся за прохождение промежуточной аттестации.</w:t>
      </w:r>
    </w:p>
    <w:p w:rsidR="006522D3"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4.8. </w:t>
      </w:r>
      <w:r w:rsidR="006522D3">
        <w:rPr>
          <w:rFonts w:ascii="PTSerifRegular" w:eastAsia="Times New Roman" w:hAnsi="PTSerifRegular" w:cs="Times New Roman" w:hint="eastAsia"/>
          <w:color w:val="000000"/>
          <w:sz w:val="24"/>
          <w:szCs w:val="24"/>
          <w:lang w:eastAsia="ru-RU"/>
        </w:rPr>
        <w:t>О</w:t>
      </w:r>
      <w:r w:rsidR="006522D3">
        <w:rPr>
          <w:rFonts w:ascii="PTSerifRegular" w:eastAsia="Times New Roman" w:hAnsi="PTSerifRegular" w:cs="Times New Roman"/>
          <w:color w:val="000000"/>
          <w:sz w:val="24"/>
          <w:szCs w:val="24"/>
          <w:lang w:eastAsia="ru-RU"/>
        </w:rPr>
        <w:t>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оставляются на повторное обучение.</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4.9. </w:t>
      </w:r>
      <w:proofErr w:type="gramStart"/>
      <w:r w:rsidRPr="00FC7BAD">
        <w:rPr>
          <w:rFonts w:ascii="PTSerifRegular" w:eastAsia="Times New Roman" w:hAnsi="PTSerifRegular" w:cs="Times New Roman"/>
          <w:color w:val="000000"/>
          <w:sz w:val="24"/>
          <w:szCs w:val="24"/>
          <w:lang w:eastAsia="ru-RU"/>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5. Особенности проведения промежуточной аттестации экстернов</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5.2. По заявлению экстерна образовательная организация вправе установить индивидуальный срок проведения промежуточной аттестации.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5.3.</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5.4.</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(его законные представители) должен подать заявление о зачислении его экстерном в образовательную</w:t>
      </w:r>
      <w:r w:rsidR="006522D3" w:rsidRPr="006522D3">
        <w:rPr>
          <w:rFonts w:ascii="PTSerifRegular" w:eastAsia="Times New Roman" w:hAnsi="PTSerifRegular" w:cs="Times New Roman"/>
          <w:color w:val="000000"/>
          <w:sz w:val="24"/>
          <w:szCs w:val="24"/>
          <w:lang w:eastAsia="ru-RU"/>
        </w:rPr>
        <w:t xml:space="preserve"> организацию не позднее, чем за месяц</w:t>
      </w:r>
      <w:r w:rsidRPr="00FC7BAD">
        <w:rPr>
          <w:rFonts w:ascii="PTSerifRegular" w:eastAsia="Times New Roman" w:hAnsi="PTSerifRegular" w:cs="Times New Roman"/>
          <w:color w:val="000000"/>
          <w:sz w:val="24"/>
          <w:szCs w:val="24"/>
          <w:lang w:eastAsia="ru-RU"/>
        </w:rPr>
        <w:t xml:space="preserve"> до начала проведения соответствующей промежуточной аттестации. В ином случае </w:t>
      </w:r>
      <w:r w:rsidR="006522D3" w:rsidRPr="006522D3">
        <w:rPr>
          <w:rFonts w:ascii="PTSerifRegular" w:eastAsia="Times New Roman" w:hAnsi="PTSerifRegular" w:cs="Times New Roman"/>
          <w:color w:val="000000"/>
          <w:sz w:val="24"/>
          <w:szCs w:val="24"/>
          <w:lang w:eastAsia="ru-RU"/>
        </w:rPr>
        <w:t xml:space="preserve">учащийся </w:t>
      </w:r>
      <w:r w:rsidRPr="00FC7BAD">
        <w:rPr>
          <w:rFonts w:ascii="PTSerifRegular" w:eastAsia="Times New Roman" w:hAnsi="PTSerifRegular" w:cs="Times New Roman"/>
          <w:color w:val="000000"/>
          <w:sz w:val="24"/>
          <w:szCs w:val="24"/>
          <w:lang w:eastAsia="ru-RU"/>
        </w:rPr>
        <w:t>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331B25" w:rsidRPr="006522D3" w:rsidRDefault="00331B25">
      <w:pPr>
        <w:rPr>
          <w:sz w:val="24"/>
          <w:szCs w:val="24"/>
        </w:rPr>
      </w:pPr>
    </w:p>
    <w:sectPr w:rsidR="00331B25" w:rsidRPr="006522D3" w:rsidSect="006522D3">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SansRegular">
    <w:altName w:val="Times New Roman"/>
    <w:charset w:val="00"/>
    <w:family w:val="auto"/>
    <w:pitch w:val="default"/>
    <w:sig w:usb0="00000000" w:usb1="00000000" w:usb2="00000000" w:usb3="00000000" w:csb0="00000000" w:csb1="00000000"/>
  </w:font>
  <w:font w:name="PTSerif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3552"/>
    <w:rsid w:val="0000067F"/>
    <w:rsid w:val="00331B25"/>
    <w:rsid w:val="00340332"/>
    <w:rsid w:val="0051750C"/>
    <w:rsid w:val="00553552"/>
    <w:rsid w:val="006522D3"/>
    <w:rsid w:val="006A291C"/>
    <w:rsid w:val="00F04004"/>
    <w:rsid w:val="00FC7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792203">
      <w:bodyDiv w:val="1"/>
      <w:marLeft w:val="0"/>
      <w:marRight w:val="0"/>
      <w:marTop w:val="0"/>
      <w:marBottom w:val="0"/>
      <w:divBdr>
        <w:top w:val="none" w:sz="0" w:space="0" w:color="auto"/>
        <w:left w:val="none" w:sz="0" w:space="0" w:color="auto"/>
        <w:bottom w:val="none" w:sz="0" w:space="0" w:color="auto"/>
        <w:right w:val="none" w:sz="0" w:space="0" w:color="auto"/>
      </w:divBdr>
      <w:divsChild>
        <w:div w:id="1079717730">
          <w:marLeft w:val="0"/>
          <w:marRight w:val="0"/>
          <w:marTop w:val="750"/>
          <w:marBottom w:val="750"/>
          <w:divBdr>
            <w:top w:val="none" w:sz="0" w:space="0" w:color="auto"/>
            <w:left w:val="none" w:sz="0" w:space="0" w:color="auto"/>
            <w:bottom w:val="none" w:sz="0" w:space="0" w:color="auto"/>
            <w:right w:val="none" w:sz="0" w:space="0" w:color="auto"/>
          </w:divBdr>
          <w:divsChild>
            <w:div w:id="1942907776">
              <w:marLeft w:val="0"/>
              <w:marRight w:val="0"/>
              <w:marTop w:val="0"/>
              <w:marBottom w:val="0"/>
              <w:divBdr>
                <w:top w:val="none" w:sz="0" w:space="0" w:color="auto"/>
                <w:left w:val="none" w:sz="0" w:space="0" w:color="auto"/>
                <w:bottom w:val="none" w:sz="0" w:space="0" w:color="auto"/>
                <w:right w:val="none" w:sz="0" w:space="0" w:color="auto"/>
              </w:divBdr>
              <w:divsChild>
                <w:div w:id="1613124370">
                  <w:marLeft w:val="0"/>
                  <w:marRight w:val="0"/>
                  <w:marTop w:val="0"/>
                  <w:marBottom w:val="0"/>
                  <w:divBdr>
                    <w:top w:val="none" w:sz="0" w:space="0" w:color="auto"/>
                    <w:left w:val="none" w:sz="0" w:space="0" w:color="auto"/>
                    <w:bottom w:val="none" w:sz="0" w:space="0" w:color="auto"/>
                    <w:right w:val="none" w:sz="0" w:space="0" w:color="auto"/>
                  </w:divBdr>
                  <w:divsChild>
                    <w:div w:id="1594245992">
                      <w:marLeft w:val="0"/>
                      <w:marRight w:val="0"/>
                      <w:marTop w:val="300"/>
                      <w:marBottom w:val="300"/>
                      <w:divBdr>
                        <w:top w:val="none" w:sz="0" w:space="0" w:color="auto"/>
                        <w:left w:val="none" w:sz="0" w:space="0" w:color="auto"/>
                        <w:bottom w:val="none" w:sz="0" w:space="0" w:color="auto"/>
                        <w:right w:val="none" w:sz="0" w:space="0" w:color="auto"/>
                      </w:divBdr>
                      <w:divsChild>
                        <w:div w:id="1164737674">
                          <w:marLeft w:val="0"/>
                          <w:marRight w:val="0"/>
                          <w:marTop w:val="0"/>
                          <w:marBottom w:val="0"/>
                          <w:divBdr>
                            <w:top w:val="none" w:sz="0" w:space="0" w:color="auto"/>
                            <w:left w:val="none" w:sz="0" w:space="0" w:color="auto"/>
                            <w:bottom w:val="none" w:sz="0" w:space="0" w:color="auto"/>
                            <w:right w:val="none" w:sz="0" w:space="0" w:color="auto"/>
                          </w:divBdr>
                          <w:divsChild>
                            <w:div w:id="250548550">
                              <w:marLeft w:val="0"/>
                              <w:marRight w:val="0"/>
                              <w:marTop w:val="0"/>
                              <w:marBottom w:val="0"/>
                              <w:divBdr>
                                <w:top w:val="none" w:sz="0" w:space="0" w:color="auto"/>
                                <w:left w:val="none" w:sz="0" w:space="0" w:color="auto"/>
                                <w:bottom w:val="none" w:sz="0" w:space="0" w:color="auto"/>
                                <w:right w:val="none" w:sz="0" w:space="0" w:color="auto"/>
                              </w:divBdr>
                              <w:divsChild>
                                <w:div w:id="1916354688">
                                  <w:marLeft w:val="0"/>
                                  <w:marRight w:val="0"/>
                                  <w:marTop w:val="0"/>
                                  <w:marBottom w:val="0"/>
                                  <w:divBdr>
                                    <w:top w:val="none" w:sz="0" w:space="0" w:color="auto"/>
                                    <w:left w:val="none" w:sz="0" w:space="0" w:color="auto"/>
                                    <w:bottom w:val="none" w:sz="0" w:space="0" w:color="auto"/>
                                    <w:right w:val="none" w:sz="0" w:space="0" w:color="auto"/>
                                  </w:divBdr>
                                  <w:divsChild>
                                    <w:div w:id="1732541155">
                                      <w:marLeft w:val="0"/>
                                      <w:marRight w:val="0"/>
                                      <w:marTop w:val="0"/>
                                      <w:marBottom w:val="0"/>
                                      <w:divBdr>
                                        <w:top w:val="none" w:sz="0" w:space="0" w:color="auto"/>
                                        <w:left w:val="none" w:sz="0" w:space="0" w:color="auto"/>
                                        <w:bottom w:val="none" w:sz="0" w:space="0" w:color="auto"/>
                                        <w:right w:val="none" w:sz="0" w:space="0" w:color="auto"/>
                                      </w:divBdr>
                                      <w:divsChild>
                                        <w:div w:id="1416393225">
                                          <w:marLeft w:val="0"/>
                                          <w:marRight w:val="0"/>
                                          <w:marTop w:val="0"/>
                                          <w:marBottom w:val="0"/>
                                          <w:divBdr>
                                            <w:top w:val="none" w:sz="0" w:space="0" w:color="auto"/>
                                            <w:left w:val="none" w:sz="0" w:space="0" w:color="auto"/>
                                            <w:bottom w:val="none" w:sz="0" w:space="0" w:color="auto"/>
                                            <w:right w:val="none" w:sz="0" w:space="0" w:color="auto"/>
                                          </w:divBdr>
                                          <w:divsChild>
                                            <w:div w:id="785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93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73-&#1092;&#1079;.&#1088;&#1092;/akty_minobrnauki_rossii/prikaz-minobrnauki-rf-ot-30082013-no-1015" TargetMode="External"/><Relationship Id="rId5" Type="http://schemas.openxmlformats.org/officeDocument/2006/relationships/hyperlink" Target="http://273-&#1092;&#1079;.&#1088;&#1092;/zakonodatelstvo/federalnyy-zakon-ot-29-dekabrya-2012-g-no-273-fz-ob-obrazovanii-v-rf" TargetMode="External"/><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4</cp:revision>
  <cp:lastPrinted>2017-12-02T05:36:00Z</cp:lastPrinted>
  <dcterms:created xsi:type="dcterms:W3CDTF">2017-12-02T05:15:00Z</dcterms:created>
  <dcterms:modified xsi:type="dcterms:W3CDTF">2019-04-08T05:30:00Z</dcterms:modified>
</cp:coreProperties>
</file>